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36BBF" w:rsidRDefault="00636BBF" w:rsidP="00636BBF">
      <w:pPr>
        <w:jc w:val="center"/>
        <w:rPr>
          <w:rFonts w:ascii="Arial" w:hAnsi="Arial" w:cs="Arial"/>
          <w:b/>
          <w:bCs/>
          <w:color w:val="003B71"/>
          <w:lang w:val="pt-PT"/>
        </w:rPr>
      </w:pPr>
    </w:p>
    <w:p w:rsidR="00077CC2" w:rsidRPr="00A77104" w:rsidRDefault="00077CC2" w:rsidP="00077CC2">
      <w:pPr>
        <w:jc w:val="center"/>
        <w:rPr>
          <w:rFonts w:ascii="Arial" w:hAnsi="Arial" w:cs="Arial"/>
          <w:b/>
          <w:bCs/>
          <w:color w:val="003B71"/>
          <w:lang w:val="en-US"/>
        </w:rPr>
      </w:pPr>
      <w:r w:rsidRPr="00A77104">
        <w:rPr>
          <w:rFonts w:ascii="Arial" w:hAnsi="Arial" w:cs="Arial"/>
          <w:b/>
          <w:bCs/>
          <w:color w:val="003B71"/>
          <w:lang w:val="en-US"/>
        </w:rPr>
        <w:t>BANCO FINANTIA POSTS A €</w:t>
      </w:r>
      <w:r w:rsidR="00042480">
        <w:rPr>
          <w:rFonts w:ascii="Arial" w:hAnsi="Arial" w:cs="Arial"/>
          <w:b/>
          <w:bCs/>
          <w:color w:val="003B71"/>
          <w:lang w:val="en-US"/>
        </w:rPr>
        <w:t>11.8</w:t>
      </w:r>
      <w:r w:rsidRPr="00A77104">
        <w:rPr>
          <w:rFonts w:ascii="Arial" w:hAnsi="Arial" w:cs="Arial"/>
          <w:b/>
          <w:bCs/>
          <w:color w:val="003B71"/>
          <w:lang w:val="en-US"/>
        </w:rPr>
        <w:t>M PROFIT IN 20</w:t>
      </w:r>
      <w:r w:rsidR="004F4849">
        <w:rPr>
          <w:rFonts w:ascii="Arial" w:hAnsi="Arial" w:cs="Arial"/>
          <w:b/>
          <w:bCs/>
          <w:color w:val="003B71"/>
          <w:lang w:val="en-US"/>
        </w:rPr>
        <w:t>2</w:t>
      </w:r>
      <w:r w:rsidR="00042480">
        <w:rPr>
          <w:rFonts w:ascii="Arial" w:hAnsi="Arial" w:cs="Arial"/>
          <w:b/>
          <w:bCs/>
          <w:color w:val="003B71"/>
          <w:lang w:val="en-US"/>
        </w:rPr>
        <w:t>1</w:t>
      </w:r>
      <w:r w:rsidRPr="00A77104">
        <w:rPr>
          <w:rFonts w:ascii="Arial" w:hAnsi="Arial" w:cs="Arial"/>
          <w:b/>
          <w:bCs/>
          <w:color w:val="003B71"/>
          <w:lang w:val="en-US"/>
        </w:rPr>
        <w:t xml:space="preserve"> FIRST HALF </w:t>
      </w:r>
    </w:p>
    <w:p w:rsidR="00077CC2" w:rsidRPr="00A77104" w:rsidRDefault="00077CC2" w:rsidP="00077CC2">
      <w:pPr>
        <w:jc w:val="center"/>
        <w:rPr>
          <w:rFonts w:ascii="Arial" w:hAnsi="Arial" w:cs="Arial"/>
          <w:b/>
          <w:bCs/>
          <w:color w:val="003B71"/>
          <w:lang w:val="en-US"/>
        </w:rPr>
      </w:pPr>
      <w:r w:rsidRPr="00A77104">
        <w:rPr>
          <w:rFonts w:ascii="Arial" w:hAnsi="Arial" w:cs="Arial"/>
          <w:b/>
          <w:bCs/>
          <w:color w:val="003B71"/>
          <w:lang w:val="en-US"/>
        </w:rPr>
        <w:t xml:space="preserve"> COMMON EQUITY TIER 1 RATIO (CET1) </w:t>
      </w:r>
      <w:r w:rsidR="004F4849">
        <w:rPr>
          <w:rFonts w:ascii="Arial" w:hAnsi="Arial" w:cs="Arial"/>
          <w:b/>
          <w:bCs/>
          <w:color w:val="003B71"/>
          <w:lang w:val="en-US"/>
        </w:rPr>
        <w:t>AT</w:t>
      </w:r>
      <w:r w:rsidRPr="00A77104">
        <w:rPr>
          <w:rFonts w:ascii="Arial" w:hAnsi="Arial" w:cs="Arial"/>
          <w:b/>
          <w:bCs/>
          <w:color w:val="003B71"/>
          <w:lang w:val="en-US"/>
        </w:rPr>
        <w:t xml:space="preserve"> 2</w:t>
      </w:r>
      <w:r w:rsidR="00042480">
        <w:rPr>
          <w:rFonts w:ascii="Arial" w:hAnsi="Arial" w:cs="Arial"/>
          <w:b/>
          <w:bCs/>
          <w:color w:val="003B71"/>
          <w:lang w:val="en-US"/>
        </w:rPr>
        <w:t>7.1</w:t>
      </w:r>
      <w:r w:rsidRPr="00A77104">
        <w:rPr>
          <w:rFonts w:ascii="Arial" w:hAnsi="Arial" w:cs="Arial"/>
          <w:b/>
          <w:bCs/>
          <w:color w:val="003B71"/>
          <w:lang w:val="en-US"/>
        </w:rPr>
        <w:t>%</w:t>
      </w:r>
    </w:p>
    <w:p w:rsidR="00636BBF" w:rsidRPr="00077CC2" w:rsidRDefault="00636BBF" w:rsidP="00636BBF">
      <w:pPr>
        <w:jc w:val="center"/>
        <w:rPr>
          <w:rFonts w:ascii="Arial" w:hAnsi="Arial" w:cs="Arial"/>
          <w:color w:val="003B71"/>
          <w:lang w:val="en-US"/>
        </w:rPr>
      </w:pPr>
    </w:p>
    <w:p w:rsidR="00A76FC2" w:rsidRDefault="00A76FC2" w:rsidP="00A76FC2">
      <w:pPr>
        <w:rPr>
          <w:rFonts w:ascii="Arial" w:hAnsi="Arial" w:cs="Arial"/>
          <w:color w:val="4D4D4D"/>
          <w:lang w:val="en-GB"/>
        </w:rPr>
      </w:pPr>
      <w:r w:rsidRPr="005F4389">
        <w:rPr>
          <w:rFonts w:ascii="Arial" w:hAnsi="Arial" w:cs="Arial"/>
          <w:color w:val="4D4D4D"/>
          <w:lang w:val="en-GB"/>
        </w:rPr>
        <w:t>Banco Finantia (</w:t>
      </w:r>
      <w:hyperlink r:id="rId7" w:history="1">
        <w:r w:rsidRPr="005F4389">
          <w:rPr>
            <w:rStyle w:val="Hyperlink"/>
            <w:rFonts w:ascii="Arial" w:hAnsi="Arial" w:cs="Arial"/>
            <w:color w:val="003B71"/>
            <w:lang w:val="en-GB"/>
          </w:rPr>
          <w:t>www.finantia.com</w:t>
        </w:r>
      </w:hyperlink>
      <w:r w:rsidRPr="005F4389">
        <w:rPr>
          <w:rFonts w:ascii="Arial" w:hAnsi="Arial" w:cs="Arial"/>
          <w:color w:val="4D4D4D"/>
          <w:lang w:val="en-GB"/>
        </w:rPr>
        <w:t xml:space="preserve">) </w:t>
      </w:r>
      <w:r w:rsidR="007145DD">
        <w:rPr>
          <w:rFonts w:ascii="Arial" w:hAnsi="Arial" w:cs="Arial"/>
          <w:color w:val="4D4D4D"/>
          <w:lang w:val="en-GB"/>
        </w:rPr>
        <w:t>post</w:t>
      </w:r>
      <w:r w:rsidR="00336010">
        <w:rPr>
          <w:rFonts w:ascii="Arial" w:hAnsi="Arial" w:cs="Arial"/>
          <w:color w:val="4D4D4D"/>
          <w:lang w:val="en-GB"/>
        </w:rPr>
        <w:t>ed</w:t>
      </w:r>
      <w:r w:rsidR="00A22198">
        <w:rPr>
          <w:rFonts w:ascii="Arial" w:hAnsi="Arial" w:cs="Arial"/>
          <w:color w:val="4D4D4D"/>
          <w:lang w:val="en-GB"/>
        </w:rPr>
        <w:t xml:space="preserve"> a</w:t>
      </w:r>
      <w:r w:rsidR="007145DD">
        <w:rPr>
          <w:rFonts w:ascii="Arial" w:hAnsi="Arial" w:cs="Arial"/>
          <w:color w:val="4D4D4D"/>
          <w:lang w:val="en-GB"/>
        </w:rPr>
        <w:t xml:space="preserve"> </w:t>
      </w:r>
      <w:r w:rsidRPr="00A76FC2">
        <w:rPr>
          <w:rFonts w:ascii="Arial" w:hAnsi="Arial" w:cs="Arial"/>
          <w:b/>
          <w:color w:val="4D4D4D"/>
          <w:lang w:val="en-GB"/>
        </w:rPr>
        <w:t>Net profit</w:t>
      </w:r>
      <w:r>
        <w:rPr>
          <w:rFonts w:ascii="Arial" w:hAnsi="Arial" w:cs="Arial"/>
          <w:color w:val="4D4D4D"/>
          <w:lang w:val="en-GB"/>
        </w:rPr>
        <w:t xml:space="preserve"> </w:t>
      </w:r>
      <w:r w:rsidR="001D4BA0">
        <w:rPr>
          <w:rFonts w:ascii="Arial" w:hAnsi="Arial" w:cs="Arial"/>
          <w:color w:val="4D4D4D"/>
          <w:lang w:val="en-GB"/>
        </w:rPr>
        <w:t>of €</w:t>
      </w:r>
      <w:r w:rsidR="00042480">
        <w:rPr>
          <w:rFonts w:ascii="Arial" w:hAnsi="Arial" w:cs="Arial"/>
          <w:color w:val="4D4D4D"/>
          <w:lang w:val="en-GB"/>
        </w:rPr>
        <w:t>11.8</w:t>
      </w:r>
      <w:r w:rsidR="001D4BA0">
        <w:rPr>
          <w:rFonts w:ascii="Arial" w:hAnsi="Arial" w:cs="Arial"/>
          <w:color w:val="4D4D4D"/>
          <w:lang w:val="en-GB"/>
        </w:rPr>
        <w:t xml:space="preserve"> million </w:t>
      </w:r>
      <w:r>
        <w:rPr>
          <w:rFonts w:ascii="Arial" w:hAnsi="Arial" w:cs="Arial"/>
          <w:color w:val="4D4D4D"/>
          <w:lang w:val="en-GB"/>
        </w:rPr>
        <w:t>in the first half of 202</w:t>
      </w:r>
      <w:r w:rsidR="00042480">
        <w:rPr>
          <w:rFonts w:ascii="Arial" w:hAnsi="Arial" w:cs="Arial"/>
          <w:color w:val="4D4D4D"/>
          <w:lang w:val="en-GB"/>
        </w:rPr>
        <w:t>1</w:t>
      </w:r>
      <w:r>
        <w:rPr>
          <w:rFonts w:ascii="Arial" w:hAnsi="Arial" w:cs="Arial"/>
          <w:color w:val="4D4D4D"/>
          <w:lang w:val="en-GB"/>
        </w:rPr>
        <w:t xml:space="preserve">, </w:t>
      </w:r>
      <w:r w:rsidR="00730CFE">
        <w:rPr>
          <w:rFonts w:ascii="Arial" w:hAnsi="Arial" w:cs="Arial"/>
          <w:color w:val="4D4D4D"/>
          <w:lang w:val="en-GB"/>
        </w:rPr>
        <w:t xml:space="preserve">a 25% increase </w:t>
      </w:r>
      <w:r w:rsidR="000833DE">
        <w:rPr>
          <w:rFonts w:ascii="Arial" w:hAnsi="Arial" w:cs="Arial"/>
          <w:color w:val="4D4D4D"/>
          <w:lang w:val="en-GB"/>
        </w:rPr>
        <w:t xml:space="preserve">over the </w:t>
      </w:r>
      <w:r w:rsidR="007145DD">
        <w:rPr>
          <w:rFonts w:ascii="Arial" w:hAnsi="Arial" w:cs="Arial"/>
          <w:color w:val="4D4D4D"/>
          <w:lang w:val="en-GB"/>
        </w:rPr>
        <w:t>€</w:t>
      </w:r>
      <w:r w:rsidR="00042480">
        <w:rPr>
          <w:rFonts w:ascii="Arial" w:hAnsi="Arial" w:cs="Arial"/>
          <w:color w:val="4D4D4D"/>
          <w:lang w:val="en-GB"/>
        </w:rPr>
        <w:t>9.4</w:t>
      </w:r>
      <w:r>
        <w:rPr>
          <w:rFonts w:ascii="Arial" w:hAnsi="Arial" w:cs="Arial"/>
          <w:color w:val="4D4D4D"/>
          <w:lang w:val="en-GB"/>
        </w:rPr>
        <w:t xml:space="preserve"> million in the same period of the previous year.</w:t>
      </w:r>
    </w:p>
    <w:p w:rsidR="00077CC2" w:rsidRPr="005F4389" w:rsidRDefault="001665DB" w:rsidP="00077CC2">
      <w:pPr>
        <w:rPr>
          <w:rFonts w:ascii="Arial" w:hAnsi="Arial" w:cs="Arial"/>
          <w:color w:val="4D4D4D"/>
          <w:lang w:val="en-GB"/>
        </w:rPr>
      </w:pPr>
      <w:r w:rsidRPr="005F4389">
        <w:rPr>
          <w:rFonts w:ascii="Arial" w:hAnsi="Arial" w:cs="Arial"/>
          <w:b/>
          <w:color w:val="4D4D4D"/>
          <w:lang w:val="en-GB"/>
        </w:rPr>
        <w:t>F</w:t>
      </w:r>
      <w:r w:rsidR="00077CC2" w:rsidRPr="005F4389">
        <w:rPr>
          <w:rFonts w:ascii="Arial" w:hAnsi="Arial" w:cs="Arial"/>
          <w:b/>
          <w:color w:val="4D4D4D"/>
          <w:lang w:val="en-GB"/>
        </w:rPr>
        <w:t>inancial strength</w:t>
      </w:r>
      <w:r w:rsidR="00077CC2" w:rsidRPr="005F4389">
        <w:rPr>
          <w:rFonts w:ascii="Arial" w:hAnsi="Arial" w:cs="Arial"/>
          <w:color w:val="4D4D4D"/>
          <w:lang w:val="en-GB"/>
        </w:rPr>
        <w:t xml:space="preserve">, as measured by the Common Equity Tier I Ratio (CET1), </w:t>
      </w:r>
      <w:r w:rsidR="004B6696">
        <w:rPr>
          <w:rFonts w:ascii="Arial" w:hAnsi="Arial" w:cs="Arial"/>
          <w:color w:val="4D4D4D"/>
          <w:lang w:val="en-GB"/>
        </w:rPr>
        <w:t>re</w:t>
      </w:r>
      <w:r w:rsidR="00BB4B88">
        <w:rPr>
          <w:rFonts w:ascii="Arial" w:hAnsi="Arial" w:cs="Arial"/>
          <w:color w:val="4D4D4D"/>
          <w:lang w:val="en-GB"/>
        </w:rPr>
        <w:t>ached</w:t>
      </w:r>
      <w:r w:rsidR="00042480">
        <w:rPr>
          <w:rFonts w:ascii="Arial" w:hAnsi="Arial" w:cs="Arial"/>
          <w:color w:val="4D4D4D"/>
          <w:lang w:val="en-GB"/>
        </w:rPr>
        <w:t xml:space="preserve"> 27.1%</w:t>
      </w:r>
      <w:r w:rsidR="00077CC2" w:rsidRPr="005F4389">
        <w:rPr>
          <w:rFonts w:ascii="Arial" w:hAnsi="Arial" w:cs="Arial"/>
          <w:color w:val="4D4D4D"/>
          <w:lang w:val="en-GB"/>
        </w:rPr>
        <w:t>, among the highest in the European Union.</w:t>
      </w:r>
    </w:p>
    <w:p w:rsidR="007145DD" w:rsidRDefault="00077CC2" w:rsidP="00077CC2">
      <w:pPr>
        <w:rPr>
          <w:rFonts w:ascii="Arial" w:hAnsi="Arial" w:cs="Arial"/>
          <w:color w:val="4D4D4D"/>
          <w:lang w:val="en-GB"/>
        </w:rPr>
      </w:pPr>
      <w:r w:rsidRPr="005F4389">
        <w:rPr>
          <w:rFonts w:ascii="Arial" w:hAnsi="Arial" w:cs="Arial"/>
          <w:b/>
          <w:color w:val="4D4D4D"/>
          <w:lang w:val="en-GB"/>
        </w:rPr>
        <w:t>Net interest</w:t>
      </w:r>
      <w:r w:rsidRPr="005F4389">
        <w:rPr>
          <w:rFonts w:ascii="Arial" w:hAnsi="Arial" w:cs="Arial"/>
          <w:color w:val="4D4D4D"/>
          <w:lang w:val="en-GB"/>
        </w:rPr>
        <w:t xml:space="preserve"> </w:t>
      </w:r>
      <w:r w:rsidRPr="007145DD">
        <w:rPr>
          <w:rFonts w:ascii="Arial" w:hAnsi="Arial" w:cs="Arial"/>
          <w:b/>
          <w:color w:val="4D4D4D"/>
          <w:lang w:val="en-GB"/>
        </w:rPr>
        <w:t>income</w:t>
      </w:r>
      <w:r w:rsidR="004B6696" w:rsidRPr="00F878D1">
        <w:rPr>
          <w:rFonts w:ascii="Arial" w:hAnsi="Arial" w:cs="Arial"/>
          <w:color w:val="4D4D4D"/>
          <w:lang w:val="en-GB"/>
        </w:rPr>
        <w:t>,</w:t>
      </w:r>
      <w:r w:rsidR="004B6696">
        <w:rPr>
          <w:rFonts w:ascii="Arial" w:hAnsi="Arial" w:cs="Arial"/>
          <w:b/>
          <w:color w:val="4D4D4D"/>
          <w:lang w:val="en-GB"/>
        </w:rPr>
        <w:t xml:space="preserve"> </w:t>
      </w:r>
      <w:r w:rsidR="004B6696" w:rsidRPr="00F878D1">
        <w:rPr>
          <w:rFonts w:ascii="Arial" w:hAnsi="Arial" w:cs="Arial"/>
          <w:color w:val="4D4D4D"/>
          <w:lang w:val="en-GB"/>
        </w:rPr>
        <w:t>net of hedging</w:t>
      </w:r>
      <w:r w:rsidR="00BB4B88">
        <w:rPr>
          <w:rFonts w:ascii="Arial" w:hAnsi="Arial" w:cs="Arial"/>
          <w:color w:val="4D4D4D"/>
          <w:lang w:val="en-GB"/>
        </w:rPr>
        <w:t xml:space="preserve"> costs</w:t>
      </w:r>
      <w:r w:rsidR="004B6696" w:rsidRPr="00F878D1">
        <w:rPr>
          <w:rFonts w:ascii="Arial" w:hAnsi="Arial" w:cs="Arial"/>
          <w:color w:val="4D4D4D"/>
          <w:lang w:val="en-GB"/>
        </w:rPr>
        <w:t>,</w:t>
      </w:r>
      <w:r w:rsidRPr="005F4389">
        <w:rPr>
          <w:rFonts w:ascii="Arial" w:hAnsi="Arial" w:cs="Arial"/>
          <w:color w:val="4D4D4D"/>
          <w:lang w:val="en-GB"/>
        </w:rPr>
        <w:t xml:space="preserve"> reached €</w:t>
      </w:r>
      <w:r w:rsidR="004B6696">
        <w:rPr>
          <w:rFonts w:ascii="Arial" w:hAnsi="Arial" w:cs="Arial"/>
          <w:color w:val="4D4D4D"/>
          <w:lang w:val="en-GB"/>
        </w:rPr>
        <w:t>18.5</w:t>
      </w:r>
      <w:r w:rsidRPr="005F4389">
        <w:rPr>
          <w:rFonts w:ascii="Arial" w:hAnsi="Arial" w:cs="Arial"/>
          <w:color w:val="4D4D4D"/>
          <w:lang w:val="en-GB"/>
        </w:rPr>
        <w:t xml:space="preserve"> million </w:t>
      </w:r>
      <w:r w:rsidR="004B6696">
        <w:rPr>
          <w:rFonts w:ascii="Arial" w:hAnsi="Arial" w:cs="Arial"/>
          <w:color w:val="4D4D4D"/>
          <w:lang w:val="en-GB"/>
        </w:rPr>
        <w:t xml:space="preserve">a 20% increase </w:t>
      </w:r>
      <w:r w:rsidR="007145DD">
        <w:rPr>
          <w:rFonts w:ascii="Arial" w:hAnsi="Arial" w:cs="Arial"/>
          <w:color w:val="4D4D4D"/>
          <w:lang w:val="en-GB"/>
        </w:rPr>
        <w:t>compared with</w:t>
      </w:r>
      <w:r w:rsidR="00BB4B88">
        <w:rPr>
          <w:rFonts w:ascii="Arial" w:hAnsi="Arial" w:cs="Arial"/>
          <w:color w:val="4D4D4D"/>
          <w:lang w:val="en-GB"/>
        </w:rPr>
        <w:t xml:space="preserve"> €15.4 million in</w:t>
      </w:r>
      <w:r w:rsidR="007145DD">
        <w:rPr>
          <w:rFonts w:ascii="Arial" w:hAnsi="Arial" w:cs="Arial"/>
          <w:color w:val="4D4D4D"/>
          <w:lang w:val="en-GB"/>
        </w:rPr>
        <w:t xml:space="preserve"> the previous year first half, </w:t>
      </w:r>
      <w:r w:rsidR="00BB513C">
        <w:rPr>
          <w:rFonts w:ascii="Arial" w:hAnsi="Arial" w:cs="Arial"/>
          <w:color w:val="4D4D4D"/>
          <w:lang w:val="en-GB"/>
        </w:rPr>
        <w:t xml:space="preserve">largely </w:t>
      </w:r>
      <w:r w:rsidR="004B6696">
        <w:rPr>
          <w:rFonts w:ascii="Arial" w:hAnsi="Arial" w:cs="Arial"/>
          <w:color w:val="4D4D4D"/>
          <w:lang w:val="en-GB"/>
        </w:rPr>
        <w:t xml:space="preserve">because </w:t>
      </w:r>
      <w:r w:rsidR="00A22198">
        <w:rPr>
          <w:rFonts w:ascii="Arial" w:hAnsi="Arial" w:cs="Arial"/>
          <w:color w:val="4D4D4D"/>
          <w:lang w:val="en-GB"/>
        </w:rPr>
        <w:t xml:space="preserve">of </w:t>
      </w:r>
      <w:r w:rsidR="004B6696">
        <w:rPr>
          <w:rFonts w:ascii="Arial" w:hAnsi="Arial" w:cs="Arial"/>
          <w:color w:val="4D4D4D"/>
          <w:lang w:val="en-GB"/>
        </w:rPr>
        <w:t>lower interest rate &amp; FX hedging cost</w:t>
      </w:r>
      <w:r w:rsidR="00BB4B88">
        <w:rPr>
          <w:rFonts w:ascii="Arial" w:hAnsi="Arial" w:cs="Arial"/>
          <w:color w:val="4D4D4D"/>
          <w:lang w:val="en-GB"/>
        </w:rPr>
        <w:t xml:space="preserve">s </w:t>
      </w:r>
      <w:r w:rsidR="00F878D1">
        <w:rPr>
          <w:rFonts w:ascii="Arial" w:hAnsi="Arial" w:cs="Arial"/>
          <w:color w:val="4D4D4D"/>
          <w:lang w:val="en-GB"/>
        </w:rPr>
        <w:t>f</w:t>
      </w:r>
      <w:r w:rsidR="004B6696">
        <w:rPr>
          <w:rFonts w:ascii="Arial" w:hAnsi="Arial" w:cs="Arial"/>
          <w:color w:val="4D4D4D"/>
          <w:lang w:val="en-GB"/>
        </w:rPr>
        <w:t>or the period</w:t>
      </w:r>
      <w:r w:rsidR="00F878D1">
        <w:rPr>
          <w:rFonts w:ascii="Arial" w:hAnsi="Arial" w:cs="Arial"/>
          <w:color w:val="4D4D4D"/>
          <w:lang w:val="en-GB"/>
        </w:rPr>
        <w:t>.</w:t>
      </w:r>
    </w:p>
    <w:p w:rsidR="004B6696" w:rsidRDefault="004B6696" w:rsidP="00077CC2">
      <w:pPr>
        <w:rPr>
          <w:rFonts w:ascii="Arial" w:hAnsi="Arial" w:cs="Arial"/>
          <w:color w:val="4D4D4D"/>
          <w:lang w:val="en-GB"/>
        </w:rPr>
      </w:pPr>
      <w:r w:rsidRPr="00F10D3E">
        <w:rPr>
          <w:rFonts w:ascii="Arial" w:hAnsi="Arial" w:cs="Arial"/>
          <w:b/>
          <w:color w:val="4D4D4D"/>
          <w:lang w:val="en-GB"/>
        </w:rPr>
        <w:t xml:space="preserve">Financial transactions, </w:t>
      </w:r>
      <w:r w:rsidR="00F84ED1">
        <w:rPr>
          <w:rFonts w:ascii="Arial" w:hAnsi="Arial" w:cs="Arial"/>
          <w:b/>
          <w:color w:val="4D4D4D"/>
          <w:lang w:val="en-GB"/>
        </w:rPr>
        <w:t>c</w:t>
      </w:r>
      <w:r w:rsidRPr="00F10D3E">
        <w:rPr>
          <w:rFonts w:ascii="Arial" w:hAnsi="Arial" w:cs="Arial"/>
          <w:b/>
          <w:color w:val="4D4D4D"/>
          <w:lang w:val="en-GB"/>
        </w:rPr>
        <w:t>ommissions and other income</w:t>
      </w:r>
      <w:r>
        <w:rPr>
          <w:rFonts w:ascii="Arial" w:hAnsi="Arial" w:cs="Arial"/>
          <w:color w:val="4D4D4D"/>
          <w:lang w:val="en-GB"/>
        </w:rPr>
        <w:t xml:space="preserve"> </w:t>
      </w:r>
      <w:r w:rsidR="00BB4B88">
        <w:rPr>
          <w:rFonts w:ascii="Arial" w:hAnsi="Arial" w:cs="Arial"/>
          <w:color w:val="4D4D4D"/>
          <w:lang w:val="en-GB"/>
        </w:rPr>
        <w:t>was</w:t>
      </w:r>
      <w:r>
        <w:rPr>
          <w:rFonts w:ascii="Arial" w:hAnsi="Arial" w:cs="Arial"/>
          <w:color w:val="4D4D4D"/>
          <w:lang w:val="en-GB"/>
        </w:rPr>
        <w:t xml:space="preserve"> €9.6 million, a slight increase</w:t>
      </w:r>
      <w:r w:rsidR="00A22198">
        <w:rPr>
          <w:rFonts w:ascii="Arial" w:hAnsi="Arial" w:cs="Arial"/>
          <w:color w:val="4D4D4D"/>
          <w:lang w:val="en-GB"/>
        </w:rPr>
        <w:t xml:space="preserve"> vis a vis</w:t>
      </w:r>
      <w:r>
        <w:rPr>
          <w:rFonts w:ascii="Arial" w:hAnsi="Arial" w:cs="Arial"/>
          <w:color w:val="4D4D4D"/>
          <w:lang w:val="en-GB"/>
        </w:rPr>
        <w:t xml:space="preserve"> last year’</w:t>
      </w:r>
      <w:r w:rsidR="00F878D1">
        <w:rPr>
          <w:rFonts w:ascii="Arial" w:hAnsi="Arial" w:cs="Arial"/>
          <w:color w:val="4D4D4D"/>
          <w:lang w:val="en-GB"/>
        </w:rPr>
        <w:t>s</w:t>
      </w:r>
      <w:r>
        <w:rPr>
          <w:rFonts w:ascii="Arial" w:hAnsi="Arial" w:cs="Arial"/>
          <w:color w:val="4D4D4D"/>
          <w:lang w:val="en-GB"/>
        </w:rPr>
        <w:t xml:space="preserve"> first half of €9.1 million.</w:t>
      </w:r>
    </w:p>
    <w:p w:rsidR="004B6696" w:rsidRDefault="004B6696" w:rsidP="00077CC2">
      <w:pPr>
        <w:rPr>
          <w:rFonts w:ascii="Arial" w:hAnsi="Arial" w:cs="Arial"/>
          <w:color w:val="4D4D4D"/>
          <w:lang w:val="en-GB"/>
        </w:rPr>
      </w:pPr>
      <w:r w:rsidRPr="004B6696">
        <w:rPr>
          <w:rFonts w:ascii="Arial" w:hAnsi="Arial" w:cs="Arial"/>
          <w:b/>
          <w:color w:val="4D4D4D"/>
          <w:lang w:val="en-GB"/>
        </w:rPr>
        <w:t>Operating income</w:t>
      </w:r>
      <w:r>
        <w:rPr>
          <w:rFonts w:ascii="Arial" w:hAnsi="Arial" w:cs="Arial"/>
          <w:color w:val="4D4D4D"/>
          <w:lang w:val="en-GB"/>
        </w:rPr>
        <w:t xml:space="preserve"> increased to </w:t>
      </w:r>
      <w:r w:rsidRPr="004B6696">
        <w:rPr>
          <w:rFonts w:ascii="Arial" w:hAnsi="Arial" w:cs="Arial"/>
          <w:color w:val="4D4D4D"/>
          <w:lang w:val="en-GB"/>
        </w:rPr>
        <w:t>€28</w:t>
      </w:r>
      <w:r>
        <w:rPr>
          <w:rFonts w:ascii="Arial" w:hAnsi="Arial" w:cs="Arial"/>
          <w:color w:val="4D4D4D"/>
          <w:lang w:val="en-GB"/>
        </w:rPr>
        <w:t>.</w:t>
      </w:r>
      <w:r w:rsidRPr="004B6696">
        <w:rPr>
          <w:rFonts w:ascii="Arial" w:hAnsi="Arial" w:cs="Arial"/>
          <w:color w:val="4D4D4D"/>
          <w:lang w:val="en-GB"/>
        </w:rPr>
        <w:t>1 mil</w:t>
      </w:r>
      <w:r>
        <w:rPr>
          <w:rFonts w:ascii="Arial" w:hAnsi="Arial" w:cs="Arial"/>
          <w:color w:val="4D4D4D"/>
          <w:lang w:val="en-GB"/>
        </w:rPr>
        <w:t>lion</w:t>
      </w:r>
      <w:r w:rsidRPr="004B6696">
        <w:rPr>
          <w:rFonts w:ascii="Arial" w:hAnsi="Arial" w:cs="Arial"/>
          <w:color w:val="4D4D4D"/>
          <w:lang w:val="en-GB"/>
        </w:rPr>
        <w:t xml:space="preserve"> (€24</w:t>
      </w:r>
      <w:r>
        <w:rPr>
          <w:rFonts w:ascii="Arial" w:hAnsi="Arial" w:cs="Arial"/>
          <w:color w:val="4D4D4D"/>
          <w:lang w:val="en-GB"/>
        </w:rPr>
        <w:t>.</w:t>
      </w:r>
      <w:r w:rsidRPr="004B6696">
        <w:rPr>
          <w:rFonts w:ascii="Arial" w:hAnsi="Arial" w:cs="Arial"/>
          <w:color w:val="4D4D4D"/>
          <w:lang w:val="en-GB"/>
        </w:rPr>
        <w:t>5 mil</w:t>
      </w:r>
      <w:r>
        <w:rPr>
          <w:rFonts w:ascii="Arial" w:hAnsi="Arial" w:cs="Arial"/>
          <w:color w:val="4D4D4D"/>
          <w:lang w:val="en-GB"/>
        </w:rPr>
        <w:t>lion</w:t>
      </w:r>
      <w:r w:rsidR="00A22198">
        <w:rPr>
          <w:rFonts w:ascii="Arial" w:hAnsi="Arial" w:cs="Arial"/>
          <w:color w:val="4D4D4D"/>
          <w:lang w:val="en-GB"/>
        </w:rPr>
        <w:t xml:space="preserve"> in the first half of 2020</w:t>
      </w:r>
      <w:r>
        <w:rPr>
          <w:rFonts w:ascii="Arial" w:hAnsi="Arial" w:cs="Arial"/>
          <w:color w:val="4D4D4D"/>
          <w:lang w:val="en-GB"/>
        </w:rPr>
        <w:t>).</w:t>
      </w:r>
    </w:p>
    <w:p w:rsidR="00077CC2" w:rsidRPr="005F4389" w:rsidRDefault="00077CC2" w:rsidP="00077CC2">
      <w:pPr>
        <w:rPr>
          <w:rFonts w:ascii="Arial" w:hAnsi="Arial" w:cs="Arial"/>
          <w:color w:val="4D4D4D"/>
          <w:lang w:val="en-GB"/>
        </w:rPr>
      </w:pPr>
      <w:r w:rsidRPr="005F4389">
        <w:rPr>
          <w:rFonts w:ascii="Arial" w:hAnsi="Arial" w:cs="Arial"/>
          <w:b/>
          <w:color w:val="4D4D4D"/>
          <w:lang w:val="en-GB"/>
        </w:rPr>
        <w:t>Operating expenses</w:t>
      </w:r>
      <w:r w:rsidRPr="005F4389">
        <w:rPr>
          <w:rFonts w:ascii="Arial" w:hAnsi="Arial" w:cs="Arial"/>
          <w:color w:val="4D4D4D"/>
          <w:lang w:val="en-GB"/>
        </w:rPr>
        <w:t xml:space="preserve"> </w:t>
      </w:r>
      <w:r w:rsidR="00F10D3E">
        <w:rPr>
          <w:rFonts w:ascii="Arial" w:hAnsi="Arial" w:cs="Arial"/>
          <w:color w:val="4D4D4D"/>
          <w:lang w:val="en-GB"/>
        </w:rPr>
        <w:t>stood at</w:t>
      </w:r>
      <w:r w:rsidRPr="005F4389">
        <w:rPr>
          <w:rFonts w:ascii="Arial" w:hAnsi="Arial" w:cs="Arial"/>
          <w:color w:val="4D4D4D"/>
          <w:lang w:val="en-GB"/>
        </w:rPr>
        <w:t xml:space="preserve"> €11.</w:t>
      </w:r>
      <w:r w:rsidR="007A5405">
        <w:rPr>
          <w:rFonts w:ascii="Arial" w:hAnsi="Arial" w:cs="Arial"/>
          <w:color w:val="4D4D4D"/>
          <w:lang w:val="en-GB"/>
        </w:rPr>
        <w:t>6</w:t>
      </w:r>
      <w:r w:rsidRPr="005F4389">
        <w:rPr>
          <w:rFonts w:ascii="Arial" w:hAnsi="Arial" w:cs="Arial"/>
          <w:color w:val="4D4D4D"/>
          <w:lang w:val="en-GB"/>
        </w:rPr>
        <w:t xml:space="preserve"> million</w:t>
      </w:r>
      <w:r w:rsidR="00F10D3E">
        <w:rPr>
          <w:rFonts w:ascii="Arial" w:hAnsi="Arial" w:cs="Arial"/>
          <w:color w:val="4D4D4D"/>
          <w:lang w:val="en-GB"/>
        </w:rPr>
        <w:t xml:space="preserve">, while impairments and provisions decreased to </w:t>
      </w:r>
      <w:r w:rsidR="00A22198">
        <w:rPr>
          <w:rFonts w:ascii="Arial" w:hAnsi="Arial" w:cs="Arial"/>
          <w:color w:val="4D4D4D"/>
          <w:lang w:val="en-GB"/>
        </w:rPr>
        <w:t xml:space="preserve">€0.8 million </w:t>
      </w:r>
      <w:r w:rsidR="00F10D3E">
        <w:rPr>
          <w:rFonts w:ascii="Arial" w:hAnsi="Arial" w:cs="Arial"/>
          <w:color w:val="4D4D4D"/>
          <w:lang w:val="en-GB"/>
        </w:rPr>
        <w:t xml:space="preserve">from </w:t>
      </w:r>
      <w:r w:rsidR="00A22198">
        <w:rPr>
          <w:rFonts w:ascii="Arial" w:hAnsi="Arial" w:cs="Arial"/>
          <w:color w:val="4D4D4D"/>
          <w:lang w:val="en-GB"/>
        </w:rPr>
        <w:t xml:space="preserve">€4.7 million </w:t>
      </w:r>
      <w:r w:rsidR="00F10D3E">
        <w:rPr>
          <w:rFonts w:ascii="Arial" w:hAnsi="Arial" w:cs="Arial"/>
          <w:color w:val="4D4D4D"/>
          <w:lang w:val="en-GB"/>
        </w:rPr>
        <w:t>the year before.</w:t>
      </w:r>
      <w:r w:rsidRPr="005F4389">
        <w:rPr>
          <w:rFonts w:ascii="Arial" w:hAnsi="Arial" w:cs="Arial"/>
          <w:color w:val="4D4D4D"/>
          <w:lang w:val="en-GB"/>
        </w:rPr>
        <w:t xml:space="preserve"> </w:t>
      </w:r>
    </w:p>
    <w:p w:rsidR="007A5405" w:rsidRDefault="00077CC2" w:rsidP="00077CC2">
      <w:pPr>
        <w:rPr>
          <w:rFonts w:ascii="Arial" w:hAnsi="Arial" w:cs="Arial"/>
          <w:color w:val="4D4D4D"/>
          <w:lang w:val="en-GB"/>
        </w:rPr>
      </w:pPr>
      <w:r w:rsidRPr="005F4389">
        <w:rPr>
          <w:rFonts w:ascii="Arial" w:hAnsi="Arial" w:cs="Arial"/>
          <w:b/>
          <w:color w:val="4D4D4D"/>
          <w:lang w:val="en-GB"/>
        </w:rPr>
        <w:t>Consolidated assets</w:t>
      </w:r>
      <w:r w:rsidRPr="005F4389">
        <w:rPr>
          <w:rFonts w:ascii="Arial" w:hAnsi="Arial" w:cs="Arial"/>
          <w:color w:val="4D4D4D"/>
          <w:lang w:val="en-GB"/>
        </w:rPr>
        <w:t xml:space="preserve"> </w:t>
      </w:r>
      <w:r w:rsidR="00F878D1">
        <w:rPr>
          <w:rFonts w:ascii="Arial" w:hAnsi="Arial" w:cs="Arial"/>
          <w:color w:val="4D4D4D"/>
          <w:lang w:val="en-GB"/>
        </w:rPr>
        <w:t>amounted to</w:t>
      </w:r>
      <w:r w:rsidRPr="005F4389">
        <w:rPr>
          <w:rFonts w:ascii="Arial" w:hAnsi="Arial" w:cs="Arial"/>
          <w:color w:val="4D4D4D"/>
          <w:lang w:val="en-GB"/>
        </w:rPr>
        <w:t xml:space="preserve"> €2,</w:t>
      </w:r>
      <w:r w:rsidR="007A5405">
        <w:rPr>
          <w:rFonts w:ascii="Arial" w:hAnsi="Arial" w:cs="Arial"/>
          <w:color w:val="4D4D4D"/>
          <w:lang w:val="en-GB"/>
        </w:rPr>
        <w:t>0</w:t>
      </w:r>
      <w:r w:rsidR="0014715B">
        <w:rPr>
          <w:rFonts w:ascii="Arial" w:hAnsi="Arial" w:cs="Arial"/>
          <w:color w:val="4D4D4D"/>
          <w:lang w:val="en-GB"/>
        </w:rPr>
        <w:t>55</w:t>
      </w:r>
      <w:r w:rsidR="007A5405">
        <w:rPr>
          <w:rFonts w:ascii="Arial" w:hAnsi="Arial" w:cs="Arial"/>
          <w:color w:val="4D4D4D"/>
          <w:lang w:val="en-GB"/>
        </w:rPr>
        <w:t xml:space="preserve"> million</w:t>
      </w:r>
      <w:r w:rsidR="00BB4B88">
        <w:rPr>
          <w:rFonts w:ascii="Arial" w:hAnsi="Arial" w:cs="Arial"/>
          <w:color w:val="4D4D4D"/>
          <w:lang w:val="en-GB"/>
        </w:rPr>
        <w:t xml:space="preserve"> as of</w:t>
      </w:r>
      <w:r w:rsidR="007A5405">
        <w:rPr>
          <w:rFonts w:ascii="Arial" w:hAnsi="Arial" w:cs="Arial"/>
          <w:color w:val="4D4D4D"/>
          <w:lang w:val="en-GB"/>
        </w:rPr>
        <w:t xml:space="preserve"> June 30 202</w:t>
      </w:r>
      <w:r w:rsidR="0014715B">
        <w:rPr>
          <w:rFonts w:ascii="Arial" w:hAnsi="Arial" w:cs="Arial"/>
          <w:color w:val="4D4D4D"/>
          <w:lang w:val="en-GB"/>
        </w:rPr>
        <w:t>1</w:t>
      </w:r>
      <w:r w:rsidR="00BB4B88">
        <w:rPr>
          <w:rFonts w:ascii="Arial" w:hAnsi="Arial" w:cs="Arial"/>
          <w:color w:val="4D4D4D"/>
          <w:lang w:val="en-GB"/>
        </w:rPr>
        <w:t xml:space="preserve"> and the </w:t>
      </w:r>
      <w:r w:rsidRPr="005F4389">
        <w:rPr>
          <w:rFonts w:ascii="Arial" w:hAnsi="Arial" w:cs="Arial"/>
          <w:b/>
          <w:color w:val="4D4D4D"/>
          <w:lang w:val="en-GB"/>
        </w:rPr>
        <w:t>Shareholders’ equity</w:t>
      </w:r>
      <w:r w:rsidRPr="005F4389">
        <w:rPr>
          <w:rFonts w:ascii="Arial" w:hAnsi="Arial" w:cs="Arial"/>
          <w:color w:val="4D4D4D"/>
          <w:lang w:val="en-GB"/>
        </w:rPr>
        <w:t xml:space="preserve"> </w:t>
      </w:r>
      <w:r w:rsidR="0014715B">
        <w:rPr>
          <w:rFonts w:ascii="Arial" w:hAnsi="Arial" w:cs="Arial"/>
          <w:color w:val="4D4D4D"/>
          <w:lang w:val="en-GB"/>
        </w:rPr>
        <w:t xml:space="preserve">reached </w:t>
      </w:r>
      <w:r w:rsidR="007A5405">
        <w:rPr>
          <w:rFonts w:ascii="Arial" w:hAnsi="Arial" w:cs="Arial"/>
          <w:color w:val="4D4D4D"/>
          <w:lang w:val="en-GB"/>
        </w:rPr>
        <w:t>€</w:t>
      </w:r>
      <w:r w:rsidR="0014715B">
        <w:rPr>
          <w:rFonts w:ascii="Arial" w:hAnsi="Arial" w:cs="Arial"/>
          <w:color w:val="4D4D4D"/>
          <w:lang w:val="en-GB"/>
        </w:rPr>
        <w:t>490</w:t>
      </w:r>
      <w:r w:rsidR="007A5405">
        <w:rPr>
          <w:rFonts w:ascii="Arial" w:hAnsi="Arial" w:cs="Arial"/>
          <w:color w:val="4D4D4D"/>
          <w:lang w:val="en-GB"/>
        </w:rPr>
        <w:t xml:space="preserve"> million.</w:t>
      </w:r>
    </w:p>
    <w:p w:rsidR="00077CC2" w:rsidRDefault="007A5405" w:rsidP="00077CC2">
      <w:pPr>
        <w:rPr>
          <w:rFonts w:ascii="Arial" w:hAnsi="Arial" w:cs="Arial"/>
          <w:b/>
          <w:bCs/>
          <w:color w:val="4D4D4D"/>
          <w:lang w:val="en-GB"/>
        </w:rPr>
      </w:pPr>
      <w:r>
        <w:rPr>
          <w:rFonts w:ascii="Arial" w:hAnsi="Arial" w:cs="Arial"/>
          <w:color w:val="4D4D4D"/>
          <w:lang w:val="en-GB"/>
        </w:rPr>
        <w:t>During 202</w:t>
      </w:r>
      <w:r w:rsidR="0014715B">
        <w:rPr>
          <w:rFonts w:ascii="Arial" w:hAnsi="Arial" w:cs="Arial"/>
          <w:color w:val="4D4D4D"/>
          <w:lang w:val="en-GB"/>
        </w:rPr>
        <w:t>1</w:t>
      </w:r>
      <w:r>
        <w:rPr>
          <w:rFonts w:ascii="Arial" w:hAnsi="Arial" w:cs="Arial"/>
          <w:color w:val="4D4D4D"/>
          <w:lang w:val="en-GB"/>
        </w:rPr>
        <w:t xml:space="preserve">, </w:t>
      </w:r>
      <w:r w:rsidR="00077CC2" w:rsidRPr="005F4389">
        <w:rPr>
          <w:rFonts w:ascii="Arial" w:hAnsi="Arial" w:cs="Arial"/>
          <w:color w:val="4D4D4D"/>
          <w:lang w:val="en-GB"/>
        </w:rPr>
        <w:t xml:space="preserve">Banco Finantia </w:t>
      </w:r>
      <w:r w:rsidR="00A22198">
        <w:rPr>
          <w:rFonts w:ascii="Arial" w:hAnsi="Arial" w:cs="Arial"/>
          <w:color w:val="4D4D4D"/>
          <w:lang w:val="en-GB"/>
        </w:rPr>
        <w:t xml:space="preserve">will </w:t>
      </w:r>
      <w:r w:rsidR="00077CC2" w:rsidRPr="005F4389">
        <w:rPr>
          <w:rFonts w:ascii="Arial" w:hAnsi="Arial" w:cs="Arial"/>
          <w:color w:val="4D4D4D"/>
          <w:lang w:val="en-GB"/>
        </w:rPr>
        <w:t xml:space="preserve">continue to </w:t>
      </w:r>
      <w:r>
        <w:rPr>
          <w:rFonts w:ascii="Arial" w:hAnsi="Arial" w:cs="Arial"/>
          <w:color w:val="4D4D4D"/>
          <w:lang w:val="en-GB"/>
        </w:rPr>
        <w:t>develop</w:t>
      </w:r>
      <w:r w:rsidR="00077CC2" w:rsidRPr="005F4389">
        <w:rPr>
          <w:rFonts w:ascii="Arial" w:hAnsi="Arial" w:cs="Arial"/>
          <w:color w:val="4D4D4D"/>
          <w:lang w:val="en-GB"/>
        </w:rPr>
        <w:t xml:space="preserve"> its key business activities - </w:t>
      </w:r>
      <w:r w:rsidRPr="005F4389">
        <w:rPr>
          <w:rFonts w:ascii="Arial" w:hAnsi="Arial" w:cs="Arial"/>
          <w:b/>
          <w:color w:val="4D4D4D"/>
          <w:lang w:val="en-GB"/>
        </w:rPr>
        <w:t>Private Banking</w:t>
      </w:r>
      <w:r w:rsidR="00336010">
        <w:rPr>
          <w:rFonts w:ascii="Arial" w:hAnsi="Arial" w:cs="Arial"/>
          <w:b/>
          <w:color w:val="4D4D4D"/>
          <w:lang w:val="en-GB"/>
        </w:rPr>
        <w:t>, Capital Markets and</w:t>
      </w:r>
      <w:r w:rsidRPr="005F4389">
        <w:rPr>
          <w:rFonts w:ascii="Arial" w:hAnsi="Arial" w:cs="Arial"/>
          <w:b/>
          <w:color w:val="4D4D4D"/>
          <w:lang w:val="en-GB"/>
        </w:rPr>
        <w:t xml:space="preserve"> </w:t>
      </w:r>
      <w:r w:rsidR="00077CC2" w:rsidRPr="005F4389">
        <w:rPr>
          <w:rFonts w:ascii="Arial" w:hAnsi="Arial" w:cs="Arial"/>
          <w:b/>
          <w:color w:val="4D4D4D"/>
          <w:lang w:val="en-GB"/>
        </w:rPr>
        <w:t>Corporate &amp; Investment Banking</w:t>
      </w:r>
      <w:r w:rsidR="00336010">
        <w:rPr>
          <w:rFonts w:ascii="Arial" w:hAnsi="Arial" w:cs="Arial"/>
          <w:b/>
          <w:color w:val="4D4D4D"/>
          <w:lang w:val="en-GB"/>
        </w:rPr>
        <w:t>.</w:t>
      </w:r>
      <w:r w:rsidR="00077CC2" w:rsidRPr="005F4389">
        <w:rPr>
          <w:rFonts w:ascii="Arial" w:hAnsi="Arial" w:cs="Arial"/>
          <w:color w:val="4D4D4D"/>
          <w:lang w:val="en-GB"/>
        </w:rPr>
        <w:t xml:space="preserve"> </w:t>
      </w:r>
    </w:p>
    <w:p w:rsidR="00F878D1" w:rsidRDefault="0014715B" w:rsidP="00077CC2">
      <w:pPr>
        <w:rPr>
          <w:rFonts w:ascii="Arial" w:hAnsi="Arial" w:cs="Arial"/>
          <w:bCs/>
          <w:color w:val="4D4D4D"/>
          <w:lang w:val="en-GB"/>
        </w:rPr>
      </w:pPr>
      <w:r>
        <w:rPr>
          <w:rFonts w:ascii="Arial" w:hAnsi="Arial" w:cs="Arial"/>
          <w:b/>
          <w:bCs/>
          <w:color w:val="4D4D4D"/>
          <w:lang w:val="en-GB"/>
        </w:rPr>
        <w:t xml:space="preserve">Banco Finantia </w:t>
      </w:r>
      <w:r>
        <w:rPr>
          <w:rFonts w:ascii="Arial" w:hAnsi="Arial" w:cs="Arial"/>
          <w:bCs/>
          <w:color w:val="4D4D4D"/>
          <w:lang w:val="en-GB"/>
        </w:rPr>
        <w:t xml:space="preserve">is establishing a branch in Spain by incorporating its subsidiary Banco Finantia Spain through a merger. This merger will allow Group organizational and operational synergies contributing to </w:t>
      </w:r>
      <w:r w:rsidR="00F878D1">
        <w:rPr>
          <w:rFonts w:ascii="Arial" w:hAnsi="Arial" w:cs="Arial"/>
          <w:bCs/>
          <w:color w:val="4D4D4D"/>
          <w:lang w:val="en-GB"/>
        </w:rPr>
        <w:t xml:space="preserve">enhanced customer service in both countries. This process </w:t>
      </w:r>
      <w:r w:rsidR="00BB4B88">
        <w:rPr>
          <w:rFonts w:ascii="Arial" w:hAnsi="Arial" w:cs="Arial"/>
          <w:bCs/>
          <w:color w:val="4D4D4D"/>
          <w:lang w:val="en-GB"/>
        </w:rPr>
        <w:t xml:space="preserve">is expected to </w:t>
      </w:r>
      <w:r w:rsidR="00F878D1">
        <w:rPr>
          <w:rFonts w:ascii="Arial" w:hAnsi="Arial" w:cs="Arial"/>
          <w:bCs/>
          <w:color w:val="4D4D4D"/>
          <w:lang w:val="en-GB"/>
        </w:rPr>
        <w:t xml:space="preserve">be completed </w:t>
      </w:r>
      <w:r w:rsidR="00BB4B88">
        <w:rPr>
          <w:rFonts w:ascii="Arial" w:hAnsi="Arial" w:cs="Arial"/>
          <w:bCs/>
          <w:color w:val="4D4D4D"/>
          <w:lang w:val="en-GB"/>
        </w:rPr>
        <w:t>this</w:t>
      </w:r>
      <w:r w:rsidR="00F878D1">
        <w:rPr>
          <w:rFonts w:ascii="Arial" w:hAnsi="Arial" w:cs="Arial"/>
          <w:bCs/>
          <w:color w:val="4D4D4D"/>
          <w:lang w:val="en-GB"/>
        </w:rPr>
        <w:t xml:space="preserve"> year.</w:t>
      </w:r>
    </w:p>
    <w:p w:rsidR="00042480" w:rsidRDefault="00042480" w:rsidP="00077CC2">
      <w:pPr>
        <w:rPr>
          <w:rFonts w:ascii="Arial" w:hAnsi="Arial" w:cs="Arial"/>
          <w:color w:val="4D4D4D"/>
          <w:lang w:val="en-GB"/>
        </w:rPr>
      </w:pPr>
      <w:r w:rsidRPr="00042480">
        <w:rPr>
          <w:rFonts w:ascii="Arial" w:hAnsi="Arial" w:cs="Arial"/>
          <w:color w:val="4D4D4D"/>
          <w:lang w:val="en-GB"/>
        </w:rPr>
        <w:t>According to the Banker 2020 Rankings of the "Top 1000 World Banks", B</w:t>
      </w:r>
      <w:r w:rsidR="00370506">
        <w:rPr>
          <w:rFonts w:ascii="Arial" w:hAnsi="Arial" w:cs="Arial"/>
          <w:color w:val="4D4D4D"/>
          <w:lang w:val="en-GB"/>
        </w:rPr>
        <w:t xml:space="preserve">anco Finantia is the </w:t>
      </w:r>
      <w:r w:rsidRPr="00042480">
        <w:rPr>
          <w:rFonts w:ascii="Arial" w:hAnsi="Arial" w:cs="Arial"/>
          <w:color w:val="4D4D4D"/>
          <w:lang w:val="en-GB"/>
        </w:rPr>
        <w:t xml:space="preserve">bank with </w:t>
      </w:r>
      <w:r w:rsidR="00370506">
        <w:rPr>
          <w:rFonts w:ascii="Arial" w:hAnsi="Arial" w:cs="Arial"/>
          <w:color w:val="4D4D4D"/>
          <w:lang w:val="en-GB"/>
        </w:rPr>
        <w:t xml:space="preserve">the </w:t>
      </w:r>
      <w:r w:rsidRPr="00042480">
        <w:rPr>
          <w:rFonts w:ascii="Arial" w:hAnsi="Arial" w:cs="Arial"/>
          <w:color w:val="4D4D4D"/>
          <w:lang w:val="en-GB"/>
        </w:rPr>
        <w:t xml:space="preserve">highest “Financial Soundness” ratios </w:t>
      </w:r>
      <w:r w:rsidR="00370506">
        <w:rPr>
          <w:rFonts w:ascii="Arial" w:hAnsi="Arial" w:cs="Arial"/>
          <w:color w:val="4D4D4D"/>
          <w:lang w:val="en-GB"/>
        </w:rPr>
        <w:t xml:space="preserve">and ROA </w:t>
      </w:r>
      <w:r w:rsidRPr="00042480">
        <w:rPr>
          <w:rFonts w:ascii="Arial" w:hAnsi="Arial" w:cs="Arial"/>
          <w:color w:val="4D4D4D"/>
          <w:lang w:val="en-GB"/>
        </w:rPr>
        <w:t xml:space="preserve">among the largest </w:t>
      </w:r>
      <w:r w:rsidR="00BB4B88">
        <w:rPr>
          <w:rFonts w:ascii="Arial" w:hAnsi="Arial" w:cs="Arial"/>
          <w:color w:val="4D4D4D"/>
          <w:lang w:val="en-GB"/>
        </w:rPr>
        <w:t>2</w:t>
      </w:r>
      <w:r w:rsidR="00E94401">
        <w:rPr>
          <w:rFonts w:ascii="Arial" w:hAnsi="Arial" w:cs="Arial"/>
          <w:color w:val="4D4D4D"/>
          <w:lang w:val="en-GB"/>
        </w:rPr>
        <w:t>3</w:t>
      </w:r>
      <w:bookmarkStart w:id="0" w:name="_GoBack"/>
      <w:bookmarkEnd w:id="0"/>
      <w:r w:rsidRPr="00042480">
        <w:rPr>
          <w:rFonts w:ascii="Arial" w:hAnsi="Arial" w:cs="Arial"/>
          <w:color w:val="4D4D4D"/>
          <w:lang w:val="en-GB"/>
        </w:rPr>
        <w:t xml:space="preserve"> banks operating in </w:t>
      </w:r>
      <w:r w:rsidR="00BB4B88">
        <w:rPr>
          <w:rFonts w:ascii="Arial" w:hAnsi="Arial" w:cs="Arial"/>
          <w:color w:val="4D4D4D"/>
          <w:lang w:val="en-GB"/>
        </w:rPr>
        <w:t xml:space="preserve">the Iberian Peninsula </w:t>
      </w:r>
      <w:r w:rsidR="00187D58">
        <w:rPr>
          <w:rFonts w:ascii="Arial" w:hAnsi="Arial" w:cs="Arial"/>
          <w:color w:val="4D4D4D"/>
          <w:lang w:val="en-GB"/>
        </w:rPr>
        <w:t>included in the lis</w:t>
      </w:r>
      <w:r w:rsidR="00370506">
        <w:rPr>
          <w:rFonts w:ascii="Arial" w:hAnsi="Arial" w:cs="Arial"/>
          <w:color w:val="4D4D4D"/>
          <w:lang w:val="en-GB"/>
        </w:rPr>
        <w:t>t</w:t>
      </w:r>
      <w:r w:rsidRPr="00042480">
        <w:rPr>
          <w:rFonts w:ascii="Arial" w:hAnsi="Arial" w:cs="Arial"/>
          <w:color w:val="4D4D4D"/>
          <w:lang w:val="en-GB"/>
        </w:rPr>
        <w:t>.</w:t>
      </w:r>
    </w:p>
    <w:p w:rsidR="00636BBF" w:rsidRPr="00370506" w:rsidRDefault="00BF4724" w:rsidP="00636BBF">
      <w:pPr>
        <w:rPr>
          <w:rFonts w:ascii="Arial" w:hAnsi="Arial" w:cs="Arial"/>
          <w:color w:val="4D4D4D"/>
          <w:lang w:val="en-GB"/>
        </w:rPr>
      </w:pPr>
      <w:r w:rsidRPr="00370506">
        <w:rPr>
          <w:rFonts w:ascii="Arial" w:hAnsi="Arial" w:cs="Arial"/>
          <w:color w:val="4D4D4D"/>
          <w:lang w:val="en-GB"/>
        </w:rPr>
        <w:t>Lisbon,</w:t>
      </w:r>
      <w:r w:rsidR="00042480" w:rsidRPr="00370506">
        <w:rPr>
          <w:rFonts w:ascii="Arial" w:hAnsi="Arial" w:cs="Arial"/>
          <w:color w:val="4D4D4D"/>
          <w:lang w:val="en-GB"/>
        </w:rPr>
        <w:t xml:space="preserve"> </w:t>
      </w:r>
      <w:r w:rsidR="00730CFE">
        <w:rPr>
          <w:rFonts w:ascii="Arial" w:hAnsi="Arial" w:cs="Arial"/>
          <w:color w:val="4D4D4D"/>
          <w:lang w:val="en-GB"/>
        </w:rPr>
        <w:t>11</w:t>
      </w:r>
      <w:r w:rsidR="000232BD" w:rsidRPr="00370506">
        <w:rPr>
          <w:rFonts w:ascii="Arial" w:hAnsi="Arial" w:cs="Arial"/>
          <w:color w:val="4D4D4D"/>
          <w:lang w:val="en-GB"/>
        </w:rPr>
        <w:t xml:space="preserve"> </w:t>
      </w:r>
      <w:r w:rsidR="00042480" w:rsidRPr="00370506">
        <w:rPr>
          <w:rFonts w:ascii="Arial" w:hAnsi="Arial" w:cs="Arial"/>
          <w:color w:val="4D4D4D"/>
          <w:lang w:val="en-GB"/>
        </w:rPr>
        <w:t>August</w:t>
      </w:r>
      <w:r w:rsidR="00077CC2" w:rsidRPr="00370506">
        <w:rPr>
          <w:rFonts w:ascii="Arial" w:hAnsi="Arial" w:cs="Arial"/>
          <w:color w:val="4D4D4D"/>
          <w:lang w:val="en-GB"/>
        </w:rPr>
        <w:t xml:space="preserve"> 20</w:t>
      </w:r>
      <w:r w:rsidR="00336010" w:rsidRPr="00370506">
        <w:rPr>
          <w:rFonts w:ascii="Arial" w:hAnsi="Arial" w:cs="Arial"/>
          <w:color w:val="4D4D4D"/>
          <w:lang w:val="en-GB"/>
        </w:rPr>
        <w:t>2</w:t>
      </w:r>
      <w:r w:rsidR="00042480" w:rsidRPr="00370506">
        <w:rPr>
          <w:rFonts w:ascii="Arial" w:hAnsi="Arial" w:cs="Arial"/>
          <w:color w:val="4D4D4D"/>
          <w:lang w:val="en-GB"/>
        </w:rPr>
        <w:t>1</w:t>
      </w:r>
    </w:p>
    <w:p w:rsidR="00FC5572" w:rsidRPr="00370506" w:rsidRDefault="00FC5572" w:rsidP="00636BBF">
      <w:pPr>
        <w:rPr>
          <w:rFonts w:ascii="Arial" w:hAnsi="Arial" w:cs="Arial"/>
          <w:color w:val="4D4D4D"/>
          <w:lang w:val="en-GB"/>
        </w:rPr>
      </w:pPr>
    </w:p>
    <w:p w:rsidR="00FC5572" w:rsidRDefault="00FC5572" w:rsidP="00636BBF">
      <w:pPr>
        <w:rPr>
          <w:rFonts w:ascii="Arial" w:hAnsi="Arial" w:cs="Arial"/>
          <w:color w:val="4D4D4D"/>
          <w:lang w:val="pt-PT"/>
        </w:rPr>
      </w:pPr>
    </w:p>
    <w:p w:rsidR="00FC5572" w:rsidRPr="00636BBF" w:rsidRDefault="00B16F75" w:rsidP="00636BBF">
      <w:pPr>
        <w:rPr>
          <w:rFonts w:ascii="Arial" w:hAnsi="Arial" w:cs="Arial"/>
          <w:color w:val="4D4D4D"/>
          <w:lang w:val="pt-PT"/>
        </w:rPr>
      </w:pPr>
      <w:r w:rsidRPr="00B16F75">
        <w:rPr>
          <w:noProof/>
          <w:lang w:val="pt-PT" w:eastAsia="pt-PT" w:bidi="ar-SA"/>
        </w:rPr>
        <w:lastRenderedPageBreak/>
        <w:drawing>
          <wp:inline distT="0" distB="0" distL="0" distR="0">
            <wp:extent cx="5761990" cy="7615509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61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572" w:rsidRPr="00636BBF" w:rsidSect="008C2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701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94A" w:rsidRDefault="00BC194A" w:rsidP="00CD6588">
      <w:r>
        <w:separator/>
      </w:r>
    </w:p>
  </w:endnote>
  <w:endnote w:type="continuationSeparator" w:id="0">
    <w:p w:rsidR="00BC194A" w:rsidRDefault="00BC194A" w:rsidP="00C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2D3" w:rsidRDefault="00B72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2D3" w:rsidRDefault="00B72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2D3" w:rsidRDefault="00B72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94A" w:rsidRDefault="00BC194A" w:rsidP="00CD6588">
      <w:r>
        <w:separator/>
      </w:r>
    </w:p>
  </w:footnote>
  <w:footnote w:type="continuationSeparator" w:id="0">
    <w:p w:rsidR="00BC194A" w:rsidRDefault="00BC194A" w:rsidP="00CD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88" w:rsidRDefault="00BC194A">
    <w:pPr>
      <w:pStyle w:val="Header"/>
    </w:pPr>
    <w:r>
      <w:rPr>
        <w:noProof/>
        <w:lang w:val="pt-PT" w:eastAsia="pt-P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352438" o:spid="_x0000_s2058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de Carta Banco Finantia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88" w:rsidRDefault="00BC194A">
    <w:pPr>
      <w:pStyle w:val="Header"/>
    </w:pPr>
    <w:r>
      <w:rPr>
        <w:noProof/>
        <w:lang w:val="pt-PT" w:eastAsia="pt-P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352439" o:spid="_x0000_s2059" type="#_x0000_t75" style="position:absolute;left:0;text-align:left;margin-left:-70.9pt;margin-top:-85.2pt;width:595.45pt;height:841.9pt;z-index:-251656192;mso-position-horizontal-relative:margin;mso-position-vertical-relative:margin" o:allowincell="f">
          <v:imagedata r:id="rId1" o:title="Papel de Carta Banco Finantia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88" w:rsidRDefault="00BC194A">
    <w:pPr>
      <w:pStyle w:val="Header"/>
    </w:pPr>
    <w:r>
      <w:rPr>
        <w:noProof/>
        <w:lang w:val="pt-PT" w:eastAsia="pt-P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352437" o:spid="_x0000_s2057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de Carta Banco Finantia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4D"/>
    <w:rsid w:val="000104EE"/>
    <w:rsid w:val="000232BD"/>
    <w:rsid w:val="00042480"/>
    <w:rsid w:val="00077CC2"/>
    <w:rsid w:val="000833DE"/>
    <w:rsid w:val="000C7AE0"/>
    <w:rsid w:val="000D7C9B"/>
    <w:rsid w:val="000E7B7D"/>
    <w:rsid w:val="001141CD"/>
    <w:rsid w:val="00123B10"/>
    <w:rsid w:val="0014715B"/>
    <w:rsid w:val="001665DB"/>
    <w:rsid w:val="0017635E"/>
    <w:rsid w:val="00187D58"/>
    <w:rsid w:val="001D4BA0"/>
    <w:rsid w:val="00204503"/>
    <w:rsid w:val="00215055"/>
    <w:rsid w:val="002455CC"/>
    <w:rsid w:val="0025422E"/>
    <w:rsid w:val="002C7C45"/>
    <w:rsid w:val="002D23FF"/>
    <w:rsid w:val="002F3093"/>
    <w:rsid w:val="0032194D"/>
    <w:rsid w:val="00336010"/>
    <w:rsid w:val="00370506"/>
    <w:rsid w:val="003C65B8"/>
    <w:rsid w:val="003D0BB0"/>
    <w:rsid w:val="003E5380"/>
    <w:rsid w:val="004844D0"/>
    <w:rsid w:val="004B3208"/>
    <w:rsid w:val="004B6696"/>
    <w:rsid w:val="004F4849"/>
    <w:rsid w:val="005073A2"/>
    <w:rsid w:val="005311F1"/>
    <w:rsid w:val="005F4389"/>
    <w:rsid w:val="00612E65"/>
    <w:rsid w:val="00636BBF"/>
    <w:rsid w:val="006E24E8"/>
    <w:rsid w:val="0071410C"/>
    <w:rsid w:val="007145DD"/>
    <w:rsid w:val="00717926"/>
    <w:rsid w:val="00730CFE"/>
    <w:rsid w:val="00743462"/>
    <w:rsid w:val="00747A65"/>
    <w:rsid w:val="00754AE9"/>
    <w:rsid w:val="0079375C"/>
    <w:rsid w:val="007A119B"/>
    <w:rsid w:val="007A5405"/>
    <w:rsid w:val="007E4650"/>
    <w:rsid w:val="008C24F9"/>
    <w:rsid w:val="00920C58"/>
    <w:rsid w:val="00925AE0"/>
    <w:rsid w:val="009740F0"/>
    <w:rsid w:val="009C6214"/>
    <w:rsid w:val="009D7966"/>
    <w:rsid w:val="009F2992"/>
    <w:rsid w:val="00A21417"/>
    <w:rsid w:val="00A22198"/>
    <w:rsid w:val="00A46491"/>
    <w:rsid w:val="00A76FC2"/>
    <w:rsid w:val="00A77104"/>
    <w:rsid w:val="00AA0C1C"/>
    <w:rsid w:val="00AB45BF"/>
    <w:rsid w:val="00B16F75"/>
    <w:rsid w:val="00B722D3"/>
    <w:rsid w:val="00BB4B88"/>
    <w:rsid w:val="00BB513C"/>
    <w:rsid w:val="00BC194A"/>
    <w:rsid w:val="00BF4724"/>
    <w:rsid w:val="00C26379"/>
    <w:rsid w:val="00C37857"/>
    <w:rsid w:val="00C86D1E"/>
    <w:rsid w:val="00CB7506"/>
    <w:rsid w:val="00CD6588"/>
    <w:rsid w:val="00CE753F"/>
    <w:rsid w:val="00D07126"/>
    <w:rsid w:val="00D41F96"/>
    <w:rsid w:val="00DE5E75"/>
    <w:rsid w:val="00E53C95"/>
    <w:rsid w:val="00E94401"/>
    <w:rsid w:val="00EC11C5"/>
    <w:rsid w:val="00ED09FC"/>
    <w:rsid w:val="00EE0B5C"/>
    <w:rsid w:val="00F10D3E"/>
    <w:rsid w:val="00F64159"/>
    <w:rsid w:val="00F84ED1"/>
    <w:rsid w:val="00F878D1"/>
    <w:rsid w:val="00F911B1"/>
    <w:rsid w:val="00F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2CD081E"/>
  <w15:docId w15:val="{3E334E61-4003-48E9-967C-66D95F39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60" w:line="27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pt-BR"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58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88"/>
    <w:rPr>
      <w:rFonts w:ascii="Helvetica Neue" w:eastAsia="Helvetica Neue" w:hAnsi="Helvetica Neue" w:cs="Helvetica Neue"/>
      <w:lang w:val="pt-BR" w:eastAsia="pt-BR" w:bidi="pt-BR"/>
    </w:rPr>
  </w:style>
  <w:style w:type="paragraph" w:styleId="Footer">
    <w:name w:val="footer"/>
    <w:basedOn w:val="Normal"/>
    <w:link w:val="FooterChar"/>
    <w:uiPriority w:val="99"/>
    <w:unhideWhenUsed/>
    <w:rsid w:val="00CD658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88"/>
    <w:rPr>
      <w:rFonts w:ascii="Helvetica Neue" w:eastAsia="Helvetica Neue" w:hAnsi="Helvetica Neue" w:cs="Helvetica Neue"/>
      <w:lang w:val="pt-BR" w:eastAsia="pt-BR" w:bidi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9B"/>
    <w:rPr>
      <w:rFonts w:ascii="Segoe UI" w:eastAsia="Helvetica Neue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DefaultParagraphFont"/>
    <w:uiPriority w:val="99"/>
    <w:unhideWhenUsed/>
    <w:rsid w:val="00636B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77CC2"/>
    <w:pPr>
      <w:spacing w:before="0" w:beforeAutospacing="0" w:after="0" w:line="240" w:lineRule="auto"/>
      <w:jc w:val="left"/>
    </w:pPr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inanti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1E54-7718-4B27-A2B6-FA32417C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Papel Carta Finantia_Todos.indd</vt:lpstr>
      <vt:lpstr>Papel Carta Finantia_Todos.indd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Carta Finantia_Todos.indd</dc:title>
  <dc:creator>Inês Lopes</dc:creator>
  <cp:lastModifiedBy>Carlos Estorninho</cp:lastModifiedBy>
  <cp:revision>2</cp:revision>
  <cp:lastPrinted>2021-08-10T15:55:00Z</cp:lastPrinted>
  <dcterms:created xsi:type="dcterms:W3CDTF">2021-12-28T15:26:00Z</dcterms:created>
  <dcterms:modified xsi:type="dcterms:W3CDTF">2021-12-28T15:26:00Z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2018-11-27T00:00:00Z</vt:filetime>
  </property>
</Properties>
</file>